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5E644" w14:textId="6D243202" w:rsidR="00F50778" w:rsidRPr="00F50778" w:rsidRDefault="00F50778" w:rsidP="00F50778">
      <w:pPr>
        <w:ind w:left="720" w:hanging="360"/>
        <w:jc w:val="center"/>
        <w:rPr>
          <w:b/>
          <w:bCs/>
        </w:rPr>
      </w:pPr>
      <w:r w:rsidRPr="00F50778">
        <w:rPr>
          <w:b/>
          <w:bCs/>
        </w:rPr>
        <w:t>Suggestions for 2026 9% QAP</w:t>
      </w:r>
    </w:p>
    <w:p w14:paraId="0DF61F3C" w14:textId="444F7AA5" w:rsidR="00895C5B" w:rsidRDefault="00611B06" w:rsidP="00F50778">
      <w:pPr>
        <w:pStyle w:val="ListParagraph"/>
        <w:numPr>
          <w:ilvl w:val="0"/>
          <w:numId w:val="1"/>
        </w:numPr>
      </w:pPr>
      <w:r>
        <w:t xml:space="preserve">No comments on </w:t>
      </w:r>
      <w:r w:rsidR="00CD019C">
        <w:t>the process</w:t>
      </w:r>
      <w:r>
        <w:t>, seems to work OK.</w:t>
      </w:r>
    </w:p>
    <w:p w14:paraId="238AFE5E" w14:textId="5C050B82" w:rsidR="00611B06" w:rsidRDefault="00611B06" w:rsidP="00611B06">
      <w:pPr>
        <w:pStyle w:val="ListParagraph"/>
        <w:numPr>
          <w:ilvl w:val="0"/>
          <w:numId w:val="1"/>
        </w:numPr>
      </w:pPr>
      <w:r>
        <w:t>The “check the box” approach to amenity selection, rather than scoring points, is a good idea.</w:t>
      </w:r>
      <w:r w:rsidR="002B2109">
        <w:t xml:space="preserve"> Some of the descriptions could be made more precise, but in general, it’s fine.</w:t>
      </w:r>
    </w:p>
    <w:p w14:paraId="74973E3C" w14:textId="0F49B467" w:rsidR="002B2109" w:rsidRDefault="002B2109" w:rsidP="00611B06">
      <w:pPr>
        <w:pStyle w:val="ListParagraph"/>
        <w:numPr>
          <w:ilvl w:val="0"/>
          <w:numId w:val="1"/>
        </w:numPr>
      </w:pPr>
      <w:r>
        <w:t xml:space="preserve">The Regional Distribution approach seems worth trying as a way to distribute credits more equitably across the state. However, the breakout within </w:t>
      </w:r>
      <w:r w:rsidR="00CD019C">
        <w:t>each</w:t>
      </w:r>
      <w:r>
        <w:t xml:space="preserve"> region between metro and rural has the potential to be inequitable. I believe PJ and non-PJ jurisdictions </w:t>
      </w:r>
      <w:r w:rsidR="00CD019C">
        <w:t>make</w:t>
      </w:r>
      <w:r>
        <w:t xml:space="preserve"> more sense, as the communities within these descriptions are more comparable. In other words, counties like Pickaway, Madison, Union, Portage, </w:t>
      </w:r>
      <w:r w:rsidR="00CD019C">
        <w:t xml:space="preserve">Wood, Miami, etc. are largely rural in character and counties like Lorain, Trumbull, etc. are largely rural outside the PJ cities in them. </w:t>
      </w:r>
    </w:p>
    <w:p w14:paraId="0054FCD8" w14:textId="5580CDF0" w:rsidR="00CD019C" w:rsidRDefault="00507B1B" w:rsidP="00611B06">
      <w:pPr>
        <w:pStyle w:val="ListParagraph"/>
        <w:numPr>
          <w:ilvl w:val="0"/>
          <w:numId w:val="1"/>
        </w:numPr>
      </w:pPr>
      <w:r>
        <w:t>Pools</w:t>
      </w:r>
    </w:p>
    <w:p w14:paraId="1FBCF313" w14:textId="7E30E595" w:rsidR="00CD019C" w:rsidRDefault="00CD019C" w:rsidP="00CD019C">
      <w:pPr>
        <w:pStyle w:val="ListParagraph"/>
        <w:numPr>
          <w:ilvl w:val="1"/>
          <w:numId w:val="1"/>
        </w:numPr>
      </w:pPr>
      <w:r>
        <w:t xml:space="preserve">When the developer commits to 20%/up to 11 units within the section 811 program and if OHFA does not select the project for inclusion in 811, the developer could be required to partner with a local agency </w:t>
      </w:r>
      <w:r w:rsidR="00507B1B">
        <w:t xml:space="preserve">of their choice </w:t>
      </w:r>
      <w:r>
        <w:t xml:space="preserve">and set aside 10% of the project to serve a </w:t>
      </w:r>
      <w:r w:rsidR="00507B1B">
        <w:t xml:space="preserve">population with disabilities or to commit additional units affordable to/occupied by households at 30% AMI. </w:t>
      </w:r>
    </w:p>
    <w:p w14:paraId="445CE54A" w14:textId="5CBBAC2D" w:rsidR="00507B1B" w:rsidRDefault="00507B1B" w:rsidP="00CD019C">
      <w:pPr>
        <w:pStyle w:val="ListParagraph"/>
        <w:numPr>
          <w:ilvl w:val="1"/>
          <w:numId w:val="1"/>
        </w:numPr>
      </w:pPr>
      <w:r>
        <w:t xml:space="preserve">The first three tiebreakers encourage financial recklessness. These projects are already </w:t>
      </w:r>
      <w:proofErr w:type="gramStart"/>
      <w:r>
        <w:t>really hard</w:t>
      </w:r>
      <w:proofErr w:type="gramEnd"/>
      <w:r>
        <w:t xml:space="preserve"> to make work with high interest rates and declining equity pricing. </w:t>
      </w:r>
      <w:r w:rsidR="00C00DD7">
        <w:t xml:space="preserve">For the New Construction General Occupancy and Senior pools, </w:t>
      </w:r>
      <w:r>
        <w:t xml:space="preserve">I would </w:t>
      </w:r>
      <w:r w:rsidR="00C00DD7">
        <w:t>have</w:t>
      </w:r>
      <w:r>
        <w:t xml:space="preserve"> the raw scores for Housing Needs, Neighborhood Change, and Opportunity come first.  </w:t>
      </w:r>
      <w:r w:rsidR="00C00DD7">
        <w:t>For Preservation, I think that data is largely irrelevant, so we need some way of finding the projects most in need of substantial rehab and if we can’t come up with a way to measure that, then the number of years the project has operated without resyndication. For the Special Needs pool, I think the percentage of units committed to the target population is key.</w:t>
      </w:r>
    </w:p>
    <w:p w14:paraId="6B5491A8" w14:textId="4D8F4A08" w:rsidR="00507B1B" w:rsidRDefault="00507B1B" w:rsidP="00CD019C">
      <w:pPr>
        <w:pStyle w:val="ListParagraph"/>
        <w:numPr>
          <w:ilvl w:val="1"/>
          <w:numId w:val="1"/>
        </w:numPr>
      </w:pPr>
      <w:r>
        <w:t xml:space="preserve">I support </w:t>
      </w:r>
      <w:proofErr w:type="gramStart"/>
      <w:r>
        <w:t>opening up</w:t>
      </w:r>
      <w:proofErr w:type="gramEnd"/>
      <w:r>
        <w:t xml:space="preserve"> the Special Housing Needs Pool to additional populations, but in view of the increase in homelessness</w:t>
      </w:r>
      <w:r w:rsidR="00C00DD7">
        <w:t>, there is a good argument for taking the 12% increase in 9% credits resulting from the recent federal legislation and putting most of it in this pool.</w:t>
      </w:r>
    </w:p>
    <w:p w14:paraId="0C6E57B9" w14:textId="77446C7B" w:rsidR="00C00DD7" w:rsidRDefault="00C00DD7" w:rsidP="00C00DD7">
      <w:pPr>
        <w:pStyle w:val="ListParagraph"/>
        <w:numPr>
          <w:ilvl w:val="0"/>
          <w:numId w:val="1"/>
        </w:numPr>
      </w:pPr>
      <w:r>
        <w:t>Scoring</w:t>
      </w:r>
    </w:p>
    <w:p w14:paraId="52181F8F" w14:textId="66B333E2" w:rsidR="00B90F78" w:rsidRDefault="00C00DD7" w:rsidP="00C00DD7">
      <w:pPr>
        <w:pStyle w:val="ListParagraph"/>
        <w:numPr>
          <w:ilvl w:val="1"/>
          <w:numId w:val="1"/>
        </w:numPr>
      </w:pPr>
      <w:r>
        <w:t xml:space="preserve">The scoring system is more balanced by adding the Housing Needs index. However, it’s just too simplistic. Let’s assume almost everyone scores all the points for credits per unit—it’s no longer really a scoring consideration. So, it’s only two criteria that are in play. What is happening now is developers are </w:t>
      </w:r>
      <w:r>
        <w:lastRenderedPageBreak/>
        <w:t xml:space="preserve">chasing sites in obscure and non-intuitive census tracts that just happen to have high Housing Needs scores but also seem to offer opportunities. In theory this is a good blend, but just as we had in the past few years, many of these tracts are </w:t>
      </w:r>
      <w:proofErr w:type="gramStart"/>
      <w:r>
        <w:t>really not</w:t>
      </w:r>
      <w:proofErr w:type="gramEnd"/>
      <w:r>
        <w:t xml:space="preserve"> more logical as a place to build new affordable housing than adjacent ones. The </w:t>
      </w:r>
      <w:r w:rsidR="00F50778">
        <w:t xml:space="preserve">New Affordability </w:t>
      </w:r>
      <w:r>
        <w:t xml:space="preserve">scoring system needs to be more robust and complicated to water down the </w:t>
      </w:r>
      <w:r w:rsidR="00B90F78">
        <w:t>peculiarities of these 2 measurements. Some ideas:</w:t>
      </w:r>
    </w:p>
    <w:p w14:paraId="5DF2264F" w14:textId="71E8257E" w:rsidR="00C00DD7" w:rsidRDefault="00B90F78" w:rsidP="00B90F78">
      <w:pPr>
        <w:pStyle w:val="ListParagraph"/>
        <w:numPr>
          <w:ilvl w:val="2"/>
          <w:numId w:val="1"/>
        </w:numPr>
      </w:pPr>
      <w:r>
        <w:t xml:space="preserve">Award points for housing in census tracts (or even better, zip codes that are closer to reflecting market areas) that haven’t had any LIHTC in x years. This is the scheme being used for the OLIHTC program and it makes sense. </w:t>
      </w:r>
    </w:p>
    <w:p w14:paraId="1ACC604C" w14:textId="21E1208B" w:rsidR="00B90F78" w:rsidRDefault="00B90F78" w:rsidP="00B90F78">
      <w:pPr>
        <w:pStyle w:val="ListParagraph"/>
        <w:numPr>
          <w:ilvl w:val="2"/>
          <w:numId w:val="1"/>
        </w:numPr>
      </w:pPr>
      <w:r>
        <w:t>Award points for census tracts or zip codes or in rural areas, the whole county based on the percentage of unmet need, i.e. the numerator is the number of designated HUD/USDA/LIHTC housing units and the denominator is the number of income qualified renter households. Lowest percentage wins, sliding scale.</w:t>
      </w:r>
    </w:p>
    <w:p w14:paraId="18AAF7B3" w14:textId="6908D7ED" w:rsidR="00B90F78" w:rsidRDefault="00B90F78" w:rsidP="00B90F78">
      <w:pPr>
        <w:pStyle w:val="ListParagraph"/>
        <w:numPr>
          <w:ilvl w:val="2"/>
          <w:numId w:val="1"/>
        </w:numPr>
      </w:pPr>
      <w:r>
        <w:t xml:space="preserve">Award points for exceptional proximity to amenities. Only if you’re within walking distance (1/2 mile) to a grocery store or pharmacy. What got old about using proximity before is almost everyone got all the points. This would be much more unusual. </w:t>
      </w:r>
    </w:p>
    <w:p w14:paraId="162A4817" w14:textId="62E3F604" w:rsidR="00B90F78" w:rsidRDefault="00B90F78" w:rsidP="00B90F78">
      <w:pPr>
        <w:pStyle w:val="ListParagraph"/>
        <w:numPr>
          <w:ilvl w:val="2"/>
          <w:numId w:val="1"/>
        </w:numPr>
      </w:pPr>
      <w:r>
        <w:t xml:space="preserve">A couple of bonus points for exceptional </w:t>
      </w:r>
      <w:r w:rsidR="00CB27E3">
        <w:t>service programs. Yes, this would be subjective, but it would inspire some good ideas and cause folks to stretch a bit.</w:t>
      </w:r>
    </w:p>
    <w:p w14:paraId="6A2B35F7" w14:textId="51562C7B" w:rsidR="00CB27E3" w:rsidRDefault="00CB27E3" w:rsidP="00B90F78">
      <w:pPr>
        <w:pStyle w:val="ListParagraph"/>
        <w:numPr>
          <w:ilvl w:val="2"/>
          <w:numId w:val="1"/>
        </w:numPr>
      </w:pPr>
      <w:r>
        <w:t>Go back into QAPs over the past decade and harvest a few other scoring attributes if you don’t like the above.</w:t>
      </w:r>
    </w:p>
    <w:p w14:paraId="68BA4134" w14:textId="5C9F1ADA" w:rsidR="00CB27E3" w:rsidRDefault="00CB27E3" w:rsidP="00CB27E3">
      <w:pPr>
        <w:pStyle w:val="ListParagraph"/>
        <w:numPr>
          <w:ilvl w:val="1"/>
          <w:numId w:val="1"/>
        </w:numPr>
      </w:pPr>
      <w:r>
        <w:t xml:space="preserve">Using the same scoring for Preservation doesn’t work. These projects are where they </w:t>
      </w:r>
      <w:proofErr w:type="gramStart"/>
      <w:r>
        <w:t>are</w:t>
      </w:r>
      <w:proofErr w:type="gramEnd"/>
      <w:r>
        <w:t xml:space="preserve"> and it can discriminate against the tenants who live in them that their property is non-competitive because it doesn’t score geographic-based points. OHFA has struggled historically to find a meaningful way to rate Preservation projects. In my experience, the two most compelling things are:</w:t>
      </w:r>
    </w:p>
    <w:p w14:paraId="5022DC4A" w14:textId="63D1CCB1" w:rsidR="00CB27E3" w:rsidRDefault="00CB27E3" w:rsidP="00CB27E3">
      <w:pPr>
        <w:pStyle w:val="ListParagraph"/>
        <w:numPr>
          <w:ilvl w:val="2"/>
          <w:numId w:val="1"/>
        </w:numPr>
      </w:pPr>
      <w:r>
        <w:t>Projects that have reached a critical moment—they are truly up for sale (as opposed to being resyndicated by the same owner) and are at-risk; and</w:t>
      </w:r>
    </w:p>
    <w:p w14:paraId="1501A8EA" w14:textId="1433F306" w:rsidR="00CB27E3" w:rsidRDefault="00CB27E3" w:rsidP="00CB27E3">
      <w:pPr>
        <w:pStyle w:val="ListParagraph"/>
        <w:numPr>
          <w:ilvl w:val="2"/>
          <w:numId w:val="1"/>
        </w:numPr>
      </w:pPr>
      <w:r>
        <w:t xml:space="preserve">Projects in crisis due to the scope of rehabilitation needed, they are cycling down, reaching 30 years old, or have some critical structural or plumbing or other issue that threatens viability. I understand this is </w:t>
      </w:r>
      <w:r>
        <w:lastRenderedPageBreak/>
        <w:t xml:space="preserve">hard to measure objectively, but OHFA could, in fact, hire a team of consultants who could rate the urgency of needing the 9% credits. </w:t>
      </w:r>
    </w:p>
    <w:p w14:paraId="0C757F0A" w14:textId="35219102" w:rsidR="00F50778" w:rsidRDefault="00F50778" w:rsidP="00F50778">
      <w:pPr>
        <w:pStyle w:val="ListParagraph"/>
        <w:numPr>
          <w:ilvl w:val="1"/>
          <w:numId w:val="1"/>
        </w:numPr>
      </w:pPr>
      <w:r>
        <w:t xml:space="preserve">Using the same scoring for Special Needs Housing doesn’t really work either because the best site location may have little relevance to census tracts, as these projects typically serve the whole county. I would look at a version of the scoring I suggested for New Affordability above. </w:t>
      </w:r>
    </w:p>
    <w:p w14:paraId="0E407285" w14:textId="214E22E7" w:rsidR="00F50778" w:rsidRDefault="00F50778" w:rsidP="00F50778">
      <w:pPr>
        <w:pStyle w:val="ListParagraph"/>
        <w:numPr>
          <w:ilvl w:val="0"/>
          <w:numId w:val="1"/>
        </w:numPr>
      </w:pPr>
      <w:r>
        <w:t xml:space="preserve">Submission requirements: this seems </w:t>
      </w:r>
      <w:proofErr w:type="gramStart"/>
      <w:r>
        <w:t>fine</w:t>
      </w:r>
      <w:proofErr w:type="gramEnd"/>
      <w:r>
        <w:t xml:space="preserve"> but I have 2 suggestions:</w:t>
      </w:r>
    </w:p>
    <w:p w14:paraId="35352E52" w14:textId="320ACE97" w:rsidR="00F50778" w:rsidRDefault="00F50778" w:rsidP="00F50778">
      <w:pPr>
        <w:pStyle w:val="ListParagraph"/>
        <w:numPr>
          <w:ilvl w:val="1"/>
          <w:numId w:val="1"/>
        </w:numPr>
      </w:pPr>
      <w:r>
        <w:t>Delay the Scope of Work until Final Application. This is a semi-meaningless exercise that wastes time at this stage.</w:t>
      </w:r>
    </w:p>
    <w:p w14:paraId="31231510" w14:textId="56CD0E99" w:rsidR="00F50778" w:rsidRDefault="00F50778" w:rsidP="00F50778">
      <w:pPr>
        <w:pStyle w:val="ListParagraph"/>
        <w:numPr>
          <w:ilvl w:val="1"/>
          <w:numId w:val="1"/>
        </w:numPr>
      </w:pPr>
      <w:r>
        <w:t xml:space="preserve">Change the AHFA to allow folks to fill out the Sources tab without first filling out the LIHTC tab. Developers don’t have equity letters when they first fill out the </w:t>
      </w:r>
      <w:proofErr w:type="gramStart"/>
      <w:r>
        <w:t>AHFA</w:t>
      </w:r>
      <w:proofErr w:type="gramEnd"/>
      <w:r>
        <w:t xml:space="preserve"> so they </w:t>
      </w:r>
      <w:proofErr w:type="gramStart"/>
      <w:r>
        <w:t>have to</w:t>
      </w:r>
      <w:proofErr w:type="gramEnd"/>
      <w:r>
        <w:t xml:space="preserve"> enter nonsense in the LIHTC tab. Put a box in the Sources tab for reference that tells developers what the amount of equity is that is promised during construction, so it can be compared to what they show in Construction Sources. </w:t>
      </w:r>
    </w:p>
    <w:sectPr w:rsidR="00F507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40A7"/>
    <w:multiLevelType w:val="hybridMultilevel"/>
    <w:tmpl w:val="CF20B43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64025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1B06"/>
    <w:rsid w:val="000C2599"/>
    <w:rsid w:val="000C2C69"/>
    <w:rsid w:val="002B2109"/>
    <w:rsid w:val="002E6F55"/>
    <w:rsid w:val="00507B1B"/>
    <w:rsid w:val="00611B06"/>
    <w:rsid w:val="00726BCD"/>
    <w:rsid w:val="00895C5B"/>
    <w:rsid w:val="00B90F78"/>
    <w:rsid w:val="00C00DD7"/>
    <w:rsid w:val="00CB27E3"/>
    <w:rsid w:val="00CD019C"/>
    <w:rsid w:val="00CD0B1D"/>
    <w:rsid w:val="00D36A2C"/>
    <w:rsid w:val="00F507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F5A5A"/>
  <w15:chartTrackingRefBased/>
  <w15:docId w15:val="{FDF69CD3-1952-41C2-8FBA-6DE526304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11B0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11B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11B0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11B0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11B0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11B0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1B0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1B0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1B0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1B0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11B0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11B0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11B0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11B0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11B0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1B0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1B0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1B06"/>
    <w:rPr>
      <w:rFonts w:eastAsiaTheme="majorEastAsia" w:cstheme="majorBidi"/>
      <w:color w:val="272727" w:themeColor="text1" w:themeTint="D8"/>
    </w:rPr>
  </w:style>
  <w:style w:type="paragraph" w:styleId="Title">
    <w:name w:val="Title"/>
    <w:basedOn w:val="Normal"/>
    <w:next w:val="Normal"/>
    <w:link w:val="TitleChar"/>
    <w:uiPriority w:val="10"/>
    <w:qFormat/>
    <w:rsid w:val="00611B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1B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1B0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1B0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1B06"/>
    <w:pPr>
      <w:spacing w:before="160"/>
      <w:jc w:val="center"/>
    </w:pPr>
    <w:rPr>
      <w:i/>
      <w:iCs/>
      <w:color w:val="404040" w:themeColor="text1" w:themeTint="BF"/>
    </w:rPr>
  </w:style>
  <w:style w:type="character" w:customStyle="1" w:styleId="QuoteChar">
    <w:name w:val="Quote Char"/>
    <w:basedOn w:val="DefaultParagraphFont"/>
    <w:link w:val="Quote"/>
    <w:uiPriority w:val="29"/>
    <w:rsid w:val="00611B06"/>
    <w:rPr>
      <w:i/>
      <w:iCs/>
      <w:color w:val="404040" w:themeColor="text1" w:themeTint="BF"/>
    </w:rPr>
  </w:style>
  <w:style w:type="paragraph" w:styleId="ListParagraph">
    <w:name w:val="List Paragraph"/>
    <w:basedOn w:val="Normal"/>
    <w:uiPriority w:val="34"/>
    <w:qFormat/>
    <w:rsid w:val="00611B06"/>
    <w:pPr>
      <w:ind w:left="720"/>
      <w:contextualSpacing/>
    </w:pPr>
  </w:style>
  <w:style w:type="character" w:styleId="IntenseEmphasis">
    <w:name w:val="Intense Emphasis"/>
    <w:basedOn w:val="DefaultParagraphFont"/>
    <w:uiPriority w:val="21"/>
    <w:qFormat/>
    <w:rsid w:val="00611B06"/>
    <w:rPr>
      <w:i/>
      <w:iCs/>
      <w:color w:val="0F4761" w:themeColor="accent1" w:themeShade="BF"/>
    </w:rPr>
  </w:style>
  <w:style w:type="paragraph" w:styleId="IntenseQuote">
    <w:name w:val="Intense Quote"/>
    <w:basedOn w:val="Normal"/>
    <w:next w:val="Normal"/>
    <w:link w:val="IntenseQuoteChar"/>
    <w:uiPriority w:val="30"/>
    <w:qFormat/>
    <w:rsid w:val="00611B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11B06"/>
    <w:rPr>
      <w:i/>
      <w:iCs/>
      <w:color w:val="0F4761" w:themeColor="accent1" w:themeShade="BF"/>
    </w:rPr>
  </w:style>
  <w:style w:type="character" w:styleId="IntenseReference">
    <w:name w:val="Intense Reference"/>
    <w:basedOn w:val="DefaultParagraphFont"/>
    <w:uiPriority w:val="32"/>
    <w:qFormat/>
    <w:rsid w:val="00611B0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3</Pages>
  <Words>859</Words>
  <Characters>4898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lowenstein</dc:creator>
  <cp:keywords/>
  <dc:description/>
  <cp:lastModifiedBy>roy lowenstein</cp:lastModifiedBy>
  <cp:revision>1</cp:revision>
  <dcterms:created xsi:type="dcterms:W3CDTF">2025-07-31T20:14:00Z</dcterms:created>
  <dcterms:modified xsi:type="dcterms:W3CDTF">2025-08-01T20:47:00Z</dcterms:modified>
</cp:coreProperties>
</file>